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A4" w:rsidRDefault="00C933BC" w:rsidP="00C933BC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  <w:r w:rsidRPr="00501F81">
        <w:rPr>
          <w:rFonts w:ascii="Arial" w:hAnsi="Arial" w:cs="Arial"/>
          <w:b/>
          <w:color w:val="000000"/>
          <w:spacing w:val="-3"/>
          <w:sz w:val="28"/>
          <w:lang w:val="es-ES_tradnl"/>
        </w:rPr>
        <w:t xml:space="preserve"> INFORME RELATIVO A LA VINCULACIÓN DE LA PÉRDIDA DE ACTIVIDAD COMO CONSECUENCIA DEL COVID-19</w:t>
      </w:r>
    </w:p>
    <w:p w:rsidR="00501F81" w:rsidRPr="00501F81" w:rsidRDefault="00501F81" w:rsidP="00C933BC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</w:p>
    <w:p w:rsidR="004648A4" w:rsidRPr="004648A4" w:rsidRDefault="004648A4" w:rsidP="00C933BC">
      <w:pPr>
        <w:widowControl/>
        <w:suppressAutoHyphens/>
        <w:spacing w:line="240" w:lineRule="atLeast"/>
        <w:jc w:val="center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Pr="00584326" w:rsidRDefault="00C933BC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Identificación de la empresa: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RAZON SOCIAL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DOMICILIO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CNAE</w:t>
      </w:r>
    </w:p>
    <w:p w:rsidR="00C933BC" w:rsidRDefault="00C933BC" w:rsidP="00C933BC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</w:p>
    <w:p w:rsidR="00C933BC" w:rsidRPr="00584326" w:rsidRDefault="00C933BC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Actividad de la empresa: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ACTIVIDAD:</w:t>
      </w: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Pr="00584326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b/>
          <w:bCs/>
          <w:color w:val="000000"/>
          <w:spacing w:val="-3"/>
          <w:sz w:val="28"/>
          <w:lang w:val="es-ES_tradnl"/>
        </w:rPr>
        <w:t>Explicación de la pérdida de actividad: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715942" w:rsidRDefault="00C933BC" w:rsidP="00C933BC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 xml:space="preserve">Explicación de </w:t>
      </w:r>
      <w:r w:rsidR="00584326">
        <w:rPr>
          <w:rFonts w:ascii="Arial" w:hAnsi="Arial" w:cs="Arial"/>
          <w:color w:val="000000"/>
          <w:spacing w:val="-3"/>
          <w:sz w:val="28"/>
          <w:lang w:val="es-ES_tradnl"/>
        </w:rPr>
        <w:t xml:space="preserve">la/s 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>medida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/s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 xml:space="preserve"> </w:t>
      </w:r>
      <w:r w:rsidR="00584326">
        <w:rPr>
          <w:rFonts w:ascii="Arial" w:hAnsi="Arial" w:cs="Arial"/>
          <w:color w:val="000000"/>
          <w:spacing w:val="-3"/>
          <w:sz w:val="28"/>
          <w:lang w:val="es-ES_tradnl"/>
        </w:rPr>
        <w:t xml:space="preserve">del Real Decreto 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>que provoca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/n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 xml:space="preserve"> pérdidas de actividad como consecuencia 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de la declaración del estado de alarma:</w:t>
      </w:r>
      <w:r w:rsidR="00715942">
        <w:rPr>
          <w:rFonts w:ascii="Arial" w:hAnsi="Arial" w:cs="Arial"/>
          <w:color w:val="000000"/>
          <w:spacing w:val="-3"/>
          <w:sz w:val="28"/>
          <w:lang w:val="es-ES_tradnl"/>
        </w:rPr>
        <w:t xml:space="preserve"> </w:t>
      </w:r>
    </w:p>
    <w:p w:rsidR="00715942" w:rsidRDefault="00715942" w:rsidP="00715942">
      <w:pPr>
        <w:pStyle w:val="Prrafodelista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Default="00715942" w:rsidP="00715942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i/>
          <w:color w:val="000000"/>
          <w:spacing w:val="-3"/>
          <w:sz w:val="28"/>
          <w:lang w:val="es-ES_tradnl"/>
        </w:rPr>
      </w:pP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</w:t>
      </w:r>
      <w:r w:rsidRPr="00715942">
        <w:rPr>
          <w:rFonts w:ascii="Arial" w:hAnsi="Arial" w:cs="Arial"/>
          <w:i/>
          <w:color w:val="000000"/>
          <w:spacing w:val="-3"/>
          <w:sz w:val="28"/>
          <w:highlight w:val="yellow"/>
          <w:lang w:val="es-ES_tradnl"/>
        </w:rPr>
        <w:t>rellenar según proceda</w:t>
      </w:r>
      <w:r w:rsidR="0057763D">
        <w:rPr>
          <w:rFonts w:ascii="Arial" w:hAnsi="Arial" w:cs="Arial"/>
          <w:i/>
          <w:color w:val="000000"/>
          <w:spacing w:val="-3"/>
          <w:sz w:val="28"/>
          <w:highlight w:val="yellow"/>
          <w:lang w:val="es-ES_tradnl"/>
        </w:rPr>
        <w:t xml:space="preserve"> en cada uno de los supuestos</w:t>
      </w:r>
      <w:r w:rsidRPr="00715942">
        <w:rPr>
          <w:rFonts w:ascii="Arial" w:hAnsi="Arial" w:cs="Arial"/>
          <w:i/>
          <w:color w:val="000000"/>
          <w:spacing w:val="-3"/>
          <w:sz w:val="28"/>
          <w:highlight w:val="yellow"/>
          <w:lang w:val="es-ES_tradnl"/>
        </w:rPr>
        <w:t>)</w:t>
      </w:r>
    </w:p>
    <w:p w:rsidR="0057763D" w:rsidRDefault="0057763D" w:rsidP="00715942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i/>
          <w:color w:val="000000"/>
          <w:spacing w:val="-3"/>
          <w:sz w:val="28"/>
          <w:lang w:val="es-ES_tradnl"/>
        </w:rPr>
      </w:pPr>
    </w:p>
    <w:p w:rsidR="0057763D" w:rsidRDefault="0057763D" w:rsidP="0057763D">
      <w:pPr>
        <w:pStyle w:val="Prrafodelista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 xml:space="preserve"> S</w:t>
      </w: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uspensión o cancelación de actividades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300353">
        <w:rPr>
          <w:rFonts w:ascii="Arial" w:hAnsi="Arial" w:cs="Arial"/>
          <w:color w:val="000000"/>
          <w:spacing w:val="-3"/>
          <w:sz w:val="28"/>
          <w:lang w:val="es-ES_tradnl"/>
        </w:rPr>
        <w:t>Cierre temporal de locales de afluencia pública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Restricciones en el transporte público.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Restricciones en la movilidad de las personas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Restricciones en la movilidad de las mercancías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Falta de suministros que impidan gravemente continuar con el desarrollo ordinario de la actividad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Situaciones urgentes y extraordinarias debidas al contagio de la plantilla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Pr="0057763D" w:rsidRDefault="0057763D" w:rsidP="0057763D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7763D">
        <w:rPr>
          <w:rFonts w:ascii="Arial" w:hAnsi="Arial" w:cs="Arial"/>
          <w:color w:val="000000"/>
          <w:spacing w:val="-3"/>
          <w:sz w:val="28"/>
          <w:lang w:val="es-ES_tradnl"/>
        </w:rPr>
        <w:t>Adopción de medidas de aislamiento preventivo decretados por la autoridad sanitaria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.</w:t>
      </w:r>
    </w:p>
    <w:p w:rsidR="0057763D" w:rsidRDefault="0057763D" w:rsidP="00715942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Default="00C933BC" w:rsidP="00C933BC">
      <w:pPr>
        <w:pStyle w:val="Prrafodelista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Default="00300353" w:rsidP="00300353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Tipo de s</w:t>
      </w:r>
      <w:r w:rsidR="00C933BC">
        <w:rPr>
          <w:rFonts w:ascii="Arial" w:hAnsi="Arial" w:cs="Arial"/>
          <w:color w:val="000000"/>
          <w:spacing w:val="-3"/>
          <w:sz w:val="28"/>
          <w:lang w:val="es-ES_tradnl"/>
        </w:rPr>
        <w:t>uspensión o cancelación de actividad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 xml:space="preserve"> </w:t>
      </w:r>
      <w:r w:rsidR="00584326">
        <w:rPr>
          <w:rFonts w:ascii="Arial" w:hAnsi="Arial" w:cs="Arial"/>
          <w:color w:val="000000"/>
          <w:spacing w:val="-3"/>
          <w:sz w:val="28"/>
          <w:lang w:val="es-ES_tradnl"/>
        </w:rPr>
        <w:t>practicada en el centro de trabajo</w:t>
      </w:r>
      <w:r w:rsidR="00C933BC"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F94224" w:rsidRDefault="00F94224" w:rsidP="00F94224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F94224" w:rsidRDefault="00F94224" w:rsidP="00F94224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F94224" w:rsidRPr="00300353" w:rsidRDefault="00F94224" w:rsidP="00300353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Style w:val="Textoennegrita"/>
          <w:rFonts w:ascii="Arial" w:hAnsi="Arial" w:cs="Arial"/>
          <w:color w:val="4C4C4C"/>
          <w:sz w:val="28"/>
          <w:szCs w:val="28"/>
        </w:rPr>
      </w:pPr>
      <w:r w:rsidRPr="00300353">
        <w:rPr>
          <w:rFonts w:ascii="Arial" w:hAnsi="Arial" w:cs="Arial"/>
          <w:b/>
          <w:bCs/>
          <w:color w:val="000000"/>
          <w:spacing w:val="-3"/>
          <w:sz w:val="28"/>
          <w:szCs w:val="28"/>
          <w:lang w:val="es-ES_tradnl"/>
        </w:rPr>
        <w:t>Suspensión</w:t>
      </w:r>
      <w:r w:rsidRPr="00300353">
        <w:rPr>
          <w:rStyle w:val="Textoennegrita"/>
          <w:rFonts w:ascii="Arial" w:hAnsi="Arial" w:cs="Arial"/>
          <w:color w:val="4C4C4C"/>
          <w:sz w:val="28"/>
          <w:szCs w:val="28"/>
        </w:rPr>
        <w:t xml:space="preserve"> de la apertura al público de los </w:t>
      </w:r>
      <w:r w:rsidRPr="00300353">
        <w:rPr>
          <w:rStyle w:val="Textoennegrita"/>
          <w:rFonts w:ascii="Arial" w:hAnsi="Arial" w:cs="Arial"/>
          <w:color w:val="4C4C4C"/>
          <w:sz w:val="28"/>
          <w:szCs w:val="28"/>
          <w:highlight w:val="yellow"/>
        </w:rPr>
        <w:t>locales y establecimientos minoristas</w:t>
      </w:r>
      <w:r w:rsidRPr="00300353">
        <w:rPr>
          <w:rStyle w:val="Textoennegrita"/>
          <w:rFonts w:ascii="Arial" w:hAnsi="Arial" w:cs="Arial"/>
          <w:sz w:val="28"/>
          <w:szCs w:val="28"/>
        </w:rPr>
        <w:t>.</w:t>
      </w:r>
    </w:p>
    <w:p w:rsidR="00300353" w:rsidRPr="00300353" w:rsidRDefault="00300353" w:rsidP="00300353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792"/>
        <w:jc w:val="both"/>
        <w:rPr>
          <w:rFonts w:ascii="Arial" w:hAnsi="Arial" w:cs="Arial"/>
          <w:color w:val="4C4C4C"/>
          <w:sz w:val="28"/>
          <w:szCs w:val="28"/>
        </w:rPr>
      </w:pPr>
    </w:p>
    <w:p w:rsidR="00F94224" w:rsidRPr="00300353" w:rsidRDefault="00F94224" w:rsidP="00300353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Arial" w:hAnsi="Arial" w:cs="Arial"/>
          <w:color w:val="4C4C4C"/>
          <w:sz w:val="28"/>
          <w:szCs w:val="28"/>
        </w:rPr>
      </w:pPr>
      <w:r w:rsidRPr="00300353">
        <w:rPr>
          <w:rFonts w:ascii="Arial" w:hAnsi="Arial" w:cs="Arial"/>
          <w:b/>
          <w:color w:val="4C4C4C"/>
          <w:sz w:val="28"/>
          <w:szCs w:val="28"/>
        </w:rPr>
        <w:t xml:space="preserve">Suspensión </w:t>
      </w:r>
      <w:r w:rsidRPr="00300353">
        <w:rPr>
          <w:rFonts w:ascii="Arial" w:hAnsi="Arial" w:cs="Arial"/>
          <w:b/>
          <w:bCs/>
          <w:color w:val="000000"/>
          <w:spacing w:val="-3"/>
          <w:sz w:val="28"/>
          <w:szCs w:val="28"/>
          <w:lang w:val="es-ES_tradnl"/>
        </w:rPr>
        <w:t>de</w:t>
      </w:r>
      <w:r w:rsidRPr="00300353">
        <w:rPr>
          <w:rFonts w:ascii="Arial" w:hAnsi="Arial" w:cs="Arial"/>
          <w:b/>
          <w:color w:val="4C4C4C"/>
          <w:sz w:val="28"/>
          <w:szCs w:val="28"/>
        </w:rPr>
        <w:t xml:space="preserve"> las actividades de </w:t>
      </w:r>
      <w:r w:rsidRPr="00300353">
        <w:rPr>
          <w:rStyle w:val="Textoennegrita"/>
          <w:rFonts w:ascii="Arial" w:hAnsi="Arial" w:cs="Arial"/>
          <w:color w:val="4C4C4C"/>
          <w:sz w:val="28"/>
          <w:szCs w:val="28"/>
          <w:highlight w:val="yellow"/>
        </w:rPr>
        <w:t>hostelería y restauración</w:t>
      </w:r>
      <w:r w:rsidRPr="00300353">
        <w:rPr>
          <w:rFonts w:ascii="Arial" w:hAnsi="Arial" w:cs="Arial"/>
          <w:color w:val="4C4C4C"/>
          <w:sz w:val="28"/>
          <w:szCs w:val="28"/>
        </w:rPr>
        <w:t>, pudiendo prestarse exclusivamente </w:t>
      </w:r>
      <w:r w:rsidRPr="00300353">
        <w:rPr>
          <w:rFonts w:ascii="Arial" w:hAnsi="Arial" w:cs="Arial"/>
          <w:color w:val="4C4C4C"/>
          <w:sz w:val="28"/>
          <w:szCs w:val="28"/>
          <w:u w:val="single"/>
        </w:rPr>
        <w:t>servicios de entrega a domicilio</w:t>
      </w:r>
      <w:r w:rsidRPr="00300353">
        <w:rPr>
          <w:rFonts w:ascii="Arial" w:hAnsi="Arial" w:cs="Arial"/>
          <w:color w:val="4C4C4C"/>
          <w:sz w:val="28"/>
          <w:szCs w:val="28"/>
        </w:rPr>
        <w:t>.</w:t>
      </w:r>
    </w:p>
    <w:p w:rsidR="00300353" w:rsidRPr="00300353" w:rsidRDefault="00300353" w:rsidP="00300353">
      <w:pPr>
        <w:widowControl/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ind w:left="792"/>
        <w:jc w:val="both"/>
        <w:rPr>
          <w:rFonts w:ascii="Arial" w:hAnsi="Arial" w:cs="Arial"/>
          <w:color w:val="4C4C4C"/>
          <w:sz w:val="28"/>
          <w:szCs w:val="28"/>
        </w:rPr>
      </w:pPr>
    </w:p>
    <w:p w:rsidR="00584326" w:rsidRPr="00584326" w:rsidRDefault="00F94224" w:rsidP="00584326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color w:val="000000"/>
          <w:spacing w:val="-3"/>
          <w:sz w:val="28"/>
          <w:szCs w:val="28"/>
          <w:lang w:val="es-ES_tradnl"/>
        </w:rPr>
        <w:t>Suspensión</w:t>
      </w:r>
      <w:r w:rsidRPr="00584326">
        <w:rPr>
          <w:rFonts w:ascii="Arial" w:hAnsi="Arial" w:cs="Arial"/>
          <w:color w:val="4C4C4C"/>
          <w:sz w:val="28"/>
          <w:szCs w:val="28"/>
        </w:rPr>
        <w:t xml:space="preserve"> de </w:t>
      </w:r>
      <w:r w:rsidRPr="00584326">
        <w:rPr>
          <w:rStyle w:val="Textoennegrita"/>
          <w:rFonts w:ascii="Arial" w:hAnsi="Arial" w:cs="Arial"/>
          <w:color w:val="4C4C4C"/>
          <w:sz w:val="28"/>
          <w:szCs w:val="28"/>
          <w:highlight w:val="yellow"/>
        </w:rPr>
        <w:t>verbenas, desfiles y fiestas populares</w:t>
      </w:r>
      <w:r w:rsidRPr="00584326">
        <w:rPr>
          <w:rFonts w:ascii="Arial" w:hAnsi="Arial" w:cs="Arial"/>
          <w:color w:val="4C4C4C"/>
          <w:sz w:val="28"/>
          <w:szCs w:val="28"/>
        </w:rPr>
        <w:t>.</w:t>
      </w:r>
    </w:p>
    <w:p w:rsidR="00584326" w:rsidRDefault="00584326" w:rsidP="00584326">
      <w:pPr>
        <w:pStyle w:val="Prrafodelista"/>
        <w:rPr>
          <w:rFonts w:ascii="Arial" w:hAnsi="Arial" w:cs="Arial"/>
          <w:color w:val="4C4C4C"/>
          <w:sz w:val="28"/>
          <w:szCs w:val="28"/>
          <w:lang w:val="es-ES_tradnl"/>
        </w:rPr>
      </w:pPr>
    </w:p>
    <w:p w:rsidR="00300353" w:rsidRPr="00584326" w:rsidRDefault="00300353" w:rsidP="00584326">
      <w:pPr>
        <w:widowControl/>
        <w:numPr>
          <w:ilvl w:val="1"/>
          <w:numId w:val="2"/>
        </w:numPr>
        <w:shd w:val="clear" w:color="auto" w:fill="FFFFFF"/>
        <w:tabs>
          <w:tab w:val="left" w:pos="-720"/>
          <w:tab w:val="left" w:pos="0"/>
          <w:tab w:val="left" w:pos="284"/>
          <w:tab w:val="left" w:pos="993"/>
        </w:tabs>
        <w:suppressAutoHyphens/>
        <w:spacing w:after="173"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584326">
        <w:rPr>
          <w:rFonts w:ascii="Arial" w:hAnsi="Arial" w:cs="Arial"/>
          <w:color w:val="4C4C4C"/>
          <w:sz w:val="28"/>
          <w:szCs w:val="28"/>
          <w:lang w:val="es-ES_tradnl"/>
        </w:rPr>
        <w:t xml:space="preserve">Suspensión </w:t>
      </w:r>
      <w:r w:rsidRPr="00584326">
        <w:rPr>
          <w:rFonts w:ascii="Arial" w:hAnsi="Arial" w:cs="Arial"/>
          <w:color w:val="4C4C4C"/>
          <w:sz w:val="28"/>
          <w:szCs w:val="28"/>
        </w:rPr>
        <w:t>de la apertura al público de los </w:t>
      </w:r>
      <w:r w:rsidRPr="00584326">
        <w:rPr>
          <w:rStyle w:val="Textoennegrita"/>
          <w:rFonts w:ascii="Arial" w:hAnsi="Arial" w:cs="Arial"/>
          <w:color w:val="4C4C4C"/>
          <w:sz w:val="28"/>
          <w:szCs w:val="28"/>
          <w:highlight w:val="yellow"/>
        </w:rPr>
        <w:t>museos, archivos, bibliotecas, monumentos, así como de los locales y establecimientos en los que se desarrollen espectáculos públicos, las actividades deportivas y de ocio</w:t>
      </w:r>
      <w:r w:rsidRPr="00584326">
        <w:rPr>
          <w:rFonts w:ascii="Arial" w:hAnsi="Arial" w:cs="Arial"/>
          <w:color w:val="4C4C4C"/>
          <w:sz w:val="28"/>
          <w:szCs w:val="28"/>
        </w:rPr>
        <w:t xml:space="preserve"> indicados en el </w:t>
      </w:r>
      <w:hyperlink r:id="rId5" w:anchor="an" w:history="1">
        <w:r w:rsidR="00A0351D">
          <w:rPr>
            <w:rStyle w:val="Hipervnculo"/>
            <w:rFonts w:ascii="Arial" w:hAnsi="Arial" w:cs="Arial"/>
            <w:sz w:val="28"/>
            <w:szCs w:val="28"/>
          </w:rPr>
          <w:t>Anexo del Real Decreto 463/2020, de 14 de marzo, por el que se declara el estado de alarma</w:t>
        </w:r>
      </w:hyperlink>
      <w:r w:rsidRPr="00584326">
        <w:rPr>
          <w:rFonts w:ascii="Arial" w:hAnsi="Arial" w:cs="Arial"/>
          <w:color w:val="4C4C4C"/>
          <w:sz w:val="28"/>
          <w:szCs w:val="28"/>
        </w:rPr>
        <w:t>:</w:t>
      </w:r>
    </w:p>
    <w:p w:rsidR="00300353" w:rsidRDefault="00300353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300353" w:rsidRDefault="00584326" w:rsidP="00300353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D</w:t>
      </w:r>
      <w:r w:rsidR="00300353">
        <w:rPr>
          <w:rFonts w:ascii="Arial" w:hAnsi="Arial" w:cs="Arial"/>
          <w:color w:val="000000"/>
          <w:spacing w:val="-3"/>
          <w:sz w:val="28"/>
          <w:lang w:val="es-ES_tradnl"/>
        </w:rPr>
        <w:t>isposiciones de las CCAA o Entidades Locales anteriores al Real Decreto que establece el estado de alarma el día 14/03/20:</w:t>
      </w:r>
    </w:p>
    <w:p w:rsidR="00300353" w:rsidRDefault="00300353" w:rsidP="00300353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300353" w:rsidRPr="00147988" w:rsidRDefault="00300353" w:rsidP="00300353">
      <w:pPr>
        <w:pStyle w:val="Prrafodelista"/>
        <w:widowControl/>
        <w:numPr>
          <w:ilvl w:val="0"/>
          <w:numId w:val="6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Aportar documento acreditativo de la decisión gubernativa concreta, efectos, publicación y alcance de su contenido para establecer la relación causal</w:t>
      </w:r>
    </w:p>
    <w:p w:rsidR="00300353" w:rsidRDefault="00300353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Default="00584326" w:rsidP="00584326">
      <w:pPr>
        <w:pStyle w:val="Prrafodelista"/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64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584326" w:rsidRPr="00B00301" w:rsidRDefault="00584326" w:rsidP="00584326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Verdana" w:hAnsi="Verdana" w:cs="Times New Roman"/>
          <w:b/>
          <w:bCs/>
          <w:color w:val="000000"/>
        </w:rPr>
      </w:pPr>
      <w:r w:rsidRPr="00584326">
        <w:rPr>
          <w:rFonts w:ascii="Arial" w:hAnsi="Arial" w:cs="Arial"/>
          <w:color w:val="000000"/>
          <w:spacing w:val="-3"/>
          <w:sz w:val="28"/>
          <w:lang w:val="es-ES_tradnl"/>
        </w:rPr>
        <w:t>Situaciones</w:t>
      </w:r>
      <w:r w:rsidRPr="00B00301">
        <w:rPr>
          <w:rFonts w:ascii="Verdana" w:hAnsi="Verdana"/>
          <w:color w:val="000000"/>
          <w:shd w:val="clear" w:color="auto" w:fill="FFFFFF"/>
        </w:rPr>
        <w:t xml:space="preserve"> urgentes y extraordinarias debidas al contagio de la plantilla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B00301">
        <w:rPr>
          <w:rFonts w:ascii="Verdana" w:hAnsi="Verdana"/>
          <w:b/>
          <w:bCs/>
          <w:color w:val="000000"/>
          <w:shd w:val="clear" w:color="auto" w:fill="FFFFFF"/>
        </w:rPr>
        <w:t>decretados por la autoridad sanitaria</w:t>
      </w:r>
      <w:r w:rsidRPr="00B00301">
        <w:rPr>
          <w:rFonts w:ascii="Verdana" w:hAnsi="Verdana"/>
          <w:color w:val="000000"/>
          <w:shd w:val="clear" w:color="auto" w:fill="FFFFFF"/>
        </w:rPr>
        <w:t>, que queden debidamente acreditados</w:t>
      </w:r>
      <w:r>
        <w:rPr>
          <w:rFonts w:ascii="Verdana" w:hAnsi="Verdana"/>
          <w:color w:val="000000"/>
          <w:shd w:val="clear" w:color="auto" w:fill="FFFFFF"/>
        </w:rPr>
        <w:t>.</w:t>
      </w:r>
    </w:p>
    <w:p w:rsidR="00584326" w:rsidRPr="00C53A49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ind w:left="792"/>
        <w:jc w:val="both"/>
        <w:rPr>
          <w:rFonts w:ascii="Verdana" w:hAnsi="Verdana" w:cs="Times New Roman"/>
          <w:b/>
          <w:bCs/>
          <w:color w:val="000000"/>
        </w:rPr>
      </w:pPr>
    </w:p>
    <w:p w:rsidR="00584326" w:rsidRPr="00C53A49" w:rsidRDefault="00584326" w:rsidP="00584326">
      <w:pPr>
        <w:widowControl/>
        <w:tabs>
          <w:tab w:val="left" w:pos="-720"/>
          <w:tab w:val="left" w:pos="0"/>
        </w:tabs>
        <w:suppressAutoHyphens/>
        <w:spacing w:line="240" w:lineRule="atLeast"/>
        <w:ind w:left="792"/>
        <w:jc w:val="both"/>
        <w:rPr>
          <w:rFonts w:ascii="Verdana" w:hAnsi="Verdana" w:cs="Times New Roman"/>
          <w:b/>
          <w:bCs/>
          <w:color w:val="000000"/>
        </w:rPr>
      </w:pPr>
    </w:p>
    <w:p w:rsidR="00584326" w:rsidRPr="00BC4748" w:rsidRDefault="00584326" w:rsidP="00584326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Verdana" w:hAnsi="Verdana" w:cs="Times New Roman"/>
          <w:b/>
          <w:bCs/>
          <w:color w:val="000000"/>
        </w:rPr>
      </w:pPr>
      <w:r w:rsidRPr="00584326">
        <w:rPr>
          <w:rFonts w:ascii="Arial" w:hAnsi="Arial" w:cs="Arial"/>
          <w:color w:val="000000"/>
          <w:spacing w:val="-3"/>
          <w:sz w:val="28"/>
          <w:lang w:val="es-ES_tradnl"/>
        </w:rPr>
        <w:t>Adopción</w:t>
      </w:r>
      <w:r w:rsidRPr="00B00301">
        <w:rPr>
          <w:rFonts w:ascii="Verdana" w:hAnsi="Verdana"/>
          <w:color w:val="000000"/>
          <w:shd w:val="clear" w:color="auto" w:fill="FFFFFF"/>
        </w:rPr>
        <w:t xml:space="preserve"> de medidas de aislamiento preventivo </w:t>
      </w:r>
      <w:r w:rsidRPr="00B00301">
        <w:rPr>
          <w:rFonts w:ascii="Verdana" w:hAnsi="Verdana"/>
          <w:b/>
          <w:bCs/>
          <w:color w:val="000000"/>
          <w:shd w:val="clear" w:color="auto" w:fill="FFFFFF"/>
        </w:rPr>
        <w:t>decretados por la autoridad sanitaria</w:t>
      </w:r>
      <w:r w:rsidRPr="00B00301">
        <w:rPr>
          <w:rFonts w:ascii="Verdana" w:hAnsi="Verdana"/>
          <w:color w:val="000000"/>
          <w:shd w:val="clear" w:color="auto" w:fill="FFFFFF"/>
        </w:rPr>
        <w:t>, que queden debidamente acreditados</w:t>
      </w:r>
      <w:r>
        <w:rPr>
          <w:rFonts w:ascii="Verdana" w:hAnsi="Verdana"/>
          <w:color w:val="000000"/>
          <w:shd w:val="clear" w:color="auto" w:fill="FFFFFF"/>
        </w:rPr>
        <w:t>.</w:t>
      </w:r>
    </w:p>
    <w:p w:rsidR="00BC4748" w:rsidRPr="00BC4748" w:rsidRDefault="00BC4748" w:rsidP="00BC4748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360"/>
        <w:jc w:val="both"/>
        <w:rPr>
          <w:rFonts w:ascii="Verdana" w:hAnsi="Verdana" w:cs="Times New Roman"/>
          <w:b/>
          <w:bCs/>
          <w:color w:val="000000"/>
        </w:rPr>
      </w:pPr>
    </w:p>
    <w:p w:rsidR="00BC4748" w:rsidRDefault="00BC4748" w:rsidP="00584326">
      <w:pPr>
        <w:widowControl/>
        <w:numPr>
          <w:ilvl w:val="0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jc w:val="both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color w:val="000000"/>
        </w:rPr>
        <w:t>Otros supuestos:</w:t>
      </w:r>
    </w:p>
    <w:p w:rsidR="00BC4748" w:rsidRDefault="00BC4748" w:rsidP="00BC4748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 w:rsidRPr="00BC4748">
        <w:rPr>
          <w:rFonts w:ascii="Verdana" w:hAnsi="Verdana" w:cs="Times New Roman"/>
          <w:shd w:val="clear" w:color="auto" w:fill="FFFF04"/>
        </w:rPr>
        <w:t>Explicar el c</w:t>
      </w:r>
      <w:r w:rsidRPr="00BC4748">
        <w:rPr>
          <w:rFonts w:ascii="Verdana" w:hAnsi="Verdana" w:cs="Times New Roman"/>
          <w:shd w:val="clear" w:color="auto" w:fill="FFFF04"/>
        </w:rPr>
        <w:t>arácter inevitable</w:t>
      </w:r>
      <w:r w:rsidRPr="00BC4748">
        <w:rPr>
          <w:rFonts w:ascii="Verdana" w:hAnsi="Verdana" w:cs="Times New Roman"/>
        </w:rPr>
        <w:t xml:space="preserve"> sobre la actividad productiva, en el sentido antes apuntado de </w:t>
      </w:r>
      <w:r w:rsidRPr="00BC4748">
        <w:rPr>
          <w:rFonts w:ascii="Verdana" w:hAnsi="Verdana" w:cs="Times New Roman"/>
          <w:shd w:val="clear" w:color="auto" w:fill="FFFF04"/>
        </w:rPr>
        <w:t>externo</w:t>
      </w:r>
      <w:r w:rsidRPr="00BC4748">
        <w:rPr>
          <w:rFonts w:ascii="Verdana" w:hAnsi="Verdana" w:cs="Times New Roman"/>
        </w:rPr>
        <w:t xml:space="preserve"> o </w:t>
      </w:r>
      <w:r w:rsidRPr="00BC4748">
        <w:rPr>
          <w:rFonts w:ascii="Verdana" w:hAnsi="Verdana" w:cs="Times New Roman"/>
          <w:shd w:val="clear" w:color="auto" w:fill="FFFF04"/>
        </w:rPr>
        <w:t>desconectado del área de actuación</w:t>
      </w:r>
      <w:r w:rsidRPr="00BC4748">
        <w:rPr>
          <w:rFonts w:ascii="Verdana" w:hAnsi="Verdana" w:cs="Times New Roman"/>
        </w:rPr>
        <w:t xml:space="preserve"> de la propia empresa.</w:t>
      </w:r>
    </w:p>
    <w:p w:rsidR="00BC4748" w:rsidRPr="00BC4748" w:rsidRDefault="00BC4748" w:rsidP="00BC4748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bookmarkStart w:id="0" w:name="_GoBack"/>
      <w:bookmarkEnd w:id="0"/>
      <w:r>
        <w:rPr>
          <w:rFonts w:ascii="Verdana" w:hAnsi="Verdana" w:cs="Times New Roman"/>
        </w:rPr>
        <w:t>Explicar l</w:t>
      </w:r>
      <w:r w:rsidRPr="00BC4748">
        <w:rPr>
          <w:rFonts w:ascii="Verdana" w:hAnsi="Verdana" w:cs="Times New Roman"/>
        </w:rPr>
        <w:t xml:space="preserve">a </w:t>
      </w:r>
      <w:r w:rsidRPr="00BC4748">
        <w:rPr>
          <w:rFonts w:ascii="Verdana" w:hAnsi="Verdana" w:cs="Times New Roman"/>
          <w:shd w:val="clear" w:color="auto" w:fill="FFFF04"/>
        </w:rPr>
        <w:t>imposibilidad objetiva de seguir prestando servicios</w:t>
      </w:r>
      <w:r w:rsidRPr="00BC4748">
        <w:rPr>
          <w:rFonts w:ascii="Verdana" w:hAnsi="Verdana" w:cs="Times New Roman"/>
        </w:rPr>
        <w:t>.</w:t>
      </w:r>
    </w:p>
    <w:p w:rsidR="00BC4748" w:rsidRPr="00BC4748" w:rsidRDefault="00BC4748" w:rsidP="00BC4748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hd w:val="clear" w:color="auto" w:fill="FFFF04"/>
        </w:rPr>
        <w:t>Explicar e</w:t>
      </w:r>
      <w:r w:rsidRPr="00BC4748">
        <w:rPr>
          <w:rFonts w:ascii="Verdana" w:hAnsi="Verdana" w:cs="Times New Roman"/>
          <w:shd w:val="clear" w:color="auto" w:fill="FFFF04"/>
        </w:rPr>
        <w:t>l medio instrumental</w:t>
      </w:r>
      <w:r w:rsidRPr="00BC4748">
        <w:rPr>
          <w:rFonts w:ascii="Verdana" w:hAnsi="Verdana" w:cs="Times New Roman"/>
        </w:rPr>
        <w:t xml:space="preserve"> en virtud del cual se produce la pérdida de actividad puede darse </w:t>
      </w:r>
      <w:r w:rsidRPr="00BC4748">
        <w:rPr>
          <w:rFonts w:ascii="Verdana" w:hAnsi="Verdana" w:cs="Times New Roman"/>
          <w:b/>
          <w:bCs/>
        </w:rPr>
        <w:t>solamente</w:t>
      </w:r>
      <w:r w:rsidRPr="00BC4748">
        <w:rPr>
          <w:rFonts w:ascii="Verdana" w:hAnsi="Verdana" w:cs="Times New Roman"/>
        </w:rPr>
        <w:t xml:space="preserve"> por: </w:t>
      </w:r>
    </w:p>
    <w:p w:rsidR="00BC4748" w:rsidRPr="00BC4748" w:rsidRDefault="00BC4748" w:rsidP="00BC4748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 w:rsidRPr="00BC4748">
        <w:rPr>
          <w:rFonts w:ascii="Verdana" w:hAnsi="Verdana" w:cs="Times New Roman"/>
        </w:rPr>
        <w:t>Suspensión o cancelación de actividades.</w:t>
      </w:r>
    </w:p>
    <w:p w:rsidR="00BC4748" w:rsidRPr="00BC4748" w:rsidRDefault="00BC4748" w:rsidP="00BC4748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 w:rsidRPr="00BC4748">
        <w:rPr>
          <w:rFonts w:ascii="Verdana" w:hAnsi="Verdana" w:cs="Times New Roman"/>
        </w:rPr>
        <w:t>Cierre temporal de locales de afluencia pública</w:t>
      </w:r>
    </w:p>
    <w:p w:rsidR="00BC4748" w:rsidRPr="00BC4748" w:rsidRDefault="00BC4748" w:rsidP="00BC4748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 w:rsidRPr="00BC4748">
        <w:rPr>
          <w:rFonts w:ascii="Verdana" w:hAnsi="Verdana" w:cs="Times New Roman"/>
        </w:rPr>
        <w:t>Restricciones en el transporte público y, en general, de la movilidad de las personas y/o las mercancías</w:t>
      </w:r>
    </w:p>
    <w:p w:rsidR="00BC4748" w:rsidRPr="00BC4748" w:rsidRDefault="00BC4748" w:rsidP="00BC4748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rFonts w:ascii="Verdana" w:hAnsi="Verdana" w:cs="Times New Roman"/>
        </w:rPr>
      </w:pPr>
      <w:r w:rsidRPr="00BC4748">
        <w:rPr>
          <w:rFonts w:ascii="Verdana" w:hAnsi="Verdana" w:cs="Times New Roman"/>
        </w:rPr>
        <w:t>Falta de suministros que impidan gravemente continuar con el desarrollo ordinario de la actividad</w:t>
      </w:r>
    </w:p>
    <w:p w:rsidR="00BC4748" w:rsidRPr="00B00301" w:rsidRDefault="00BC4748" w:rsidP="00BC4748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360"/>
        <w:jc w:val="both"/>
        <w:rPr>
          <w:rFonts w:ascii="Verdana" w:hAnsi="Verdana" w:cs="Times New Roman"/>
          <w:b/>
          <w:bCs/>
          <w:color w:val="000000"/>
        </w:rPr>
      </w:pPr>
    </w:p>
    <w:p w:rsidR="00501F81" w:rsidRDefault="00501F81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584326" w:rsidRP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b/>
          <w:color w:val="000000"/>
          <w:spacing w:val="-3"/>
          <w:sz w:val="28"/>
        </w:rPr>
      </w:pPr>
      <w:r w:rsidRPr="0070050C">
        <w:rPr>
          <w:rFonts w:ascii="Arial" w:hAnsi="Arial" w:cs="Arial"/>
          <w:b/>
          <w:color w:val="000000"/>
          <w:spacing w:val="-3"/>
          <w:sz w:val="28"/>
        </w:rPr>
        <w:t>CONCLUSIONES:</w:t>
      </w:r>
    </w:p>
    <w:p w:rsidR="00584326" w:rsidRDefault="00584326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70050C" w:rsidRP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b/>
          <w:color w:val="000000"/>
          <w:spacing w:val="-3"/>
          <w:sz w:val="28"/>
        </w:rPr>
      </w:pPr>
      <w:r w:rsidRPr="0070050C">
        <w:rPr>
          <w:rFonts w:ascii="Arial" w:hAnsi="Arial" w:cs="Arial"/>
          <w:b/>
          <w:color w:val="000000"/>
          <w:spacing w:val="-3"/>
          <w:sz w:val="28"/>
        </w:rPr>
        <w:t>PRUEBA;</w:t>
      </w:r>
    </w:p>
    <w:p w:rsidR="0070050C" w:rsidRDefault="0070050C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</w:p>
    <w:p w:rsidR="00584326" w:rsidRPr="00584326" w:rsidRDefault="00584326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</w:rPr>
      </w:pPr>
      <w:r w:rsidRPr="009C7F02">
        <w:rPr>
          <w:rFonts w:ascii="Arial" w:hAnsi="Arial" w:cs="Arial"/>
          <w:color w:val="000000"/>
          <w:spacing w:val="-3"/>
          <w:sz w:val="28"/>
          <w:highlight w:val="yellow"/>
        </w:rPr>
        <w:t xml:space="preserve">ACREDITAR DOCUMENTALMENTE LOS PUNTOS 1 A </w:t>
      </w:r>
      <w:r w:rsidR="009C7F02" w:rsidRPr="009C7F02">
        <w:rPr>
          <w:rFonts w:ascii="Arial" w:hAnsi="Arial" w:cs="Arial"/>
          <w:color w:val="000000"/>
          <w:spacing w:val="-3"/>
          <w:sz w:val="28"/>
          <w:highlight w:val="yellow"/>
        </w:rPr>
        <w:t>5 Y APORTAR PRUEBA DE CADA UNO DE LOS PUNTOS</w:t>
      </w:r>
    </w:p>
    <w:sectPr w:rsidR="00584326" w:rsidRPr="00584326" w:rsidSect="00F94224">
      <w:pgSz w:w="11906" w:h="16838" w:code="9"/>
      <w:pgMar w:top="993" w:right="1151" w:bottom="720" w:left="2160" w:header="1678" w:footer="720" w:gutter="0"/>
      <w:paperSrc w:first="1" w:other="1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E56"/>
    <w:multiLevelType w:val="hybridMultilevel"/>
    <w:tmpl w:val="12EE9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5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63B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391E8C"/>
    <w:multiLevelType w:val="hybridMultilevel"/>
    <w:tmpl w:val="901E70A4"/>
    <w:lvl w:ilvl="0" w:tplc="00286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51749"/>
    <w:multiLevelType w:val="multilevel"/>
    <w:tmpl w:val="FBA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B24B5"/>
    <w:multiLevelType w:val="hybridMultilevel"/>
    <w:tmpl w:val="C89A3E66"/>
    <w:lvl w:ilvl="0" w:tplc="53C4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5"/>
    <w:multiLevelType w:val="hybridMultilevel"/>
    <w:tmpl w:val="31F857BC"/>
    <w:lvl w:ilvl="0" w:tplc="6924FCA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DD5013"/>
    <w:multiLevelType w:val="multilevel"/>
    <w:tmpl w:val="634E35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854E6D"/>
    <w:multiLevelType w:val="multilevel"/>
    <w:tmpl w:val="BBFC4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A6"/>
    <w:rsid w:val="00053CB3"/>
    <w:rsid w:val="001F2512"/>
    <w:rsid w:val="00300353"/>
    <w:rsid w:val="004648A4"/>
    <w:rsid w:val="00501F81"/>
    <w:rsid w:val="0057763D"/>
    <w:rsid w:val="00584326"/>
    <w:rsid w:val="005B3010"/>
    <w:rsid w:val="006728A6"/>
    <w:rsid w:val="0070050C"/>
    <w:rsid w:val="00715942"/>
    <w:rsid w:val="009C7F02"/>
    <w:rsid w:val="00A0351D"/>
    <w:rsid w:val="00A86F6B"/>
    <w:rsid w:val="00BC4748"/>
    <w:rsid w:val="00C933BC"/>
    <w:rsid w:val="00EB021F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8A25"/>
  <w15:chartTrackingRefBased/>
  <w15:docId w15:val="{302DB86D-7829-46C1-B89A-A2440A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3BC"/>
    <w:rPr>
      <w:b/>
      <w:bCs/>
    </w:rPr>
  </w:style>
  <w:style w:type="paragraph" w:customStyle="1" w:styleId="parrafo">
    <w:name w:val="parrafo"/>
    <w:basedOn w:val="Normal"/>
    <w:rsid w:val="00F942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035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e.es/buscar/act.php?id=BOE-A-2020-3692&amp;p=20200318&amp;t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Josep Conesa</cp:lastModifiedBy>
  <cp:revision>2</cp:revision>
  <dcterms:created xsi:type="dcterms:W3CDTF">2020-03-30T12:16:00Z</dcterms:created>
  <dcterms:modified xsi:type="dcterms:W3CDTF">2020-03-30T12:16:00Z</dcterms:modified>
</cp:coreProperties>
</file>